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上海临港新片区：已有8大算力中心 继续加强智算中心建设</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发布时间：2024-05-11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月7日，临港新片区发布《中国（上海）自由贸易试验区临港新片区进一步集聚发展新型算力赋能新质生产力若干政策》（以下简称《政策》），鼓励和引导算力产业链上下游企业在临港新片区更好的布局、建设和使用算力。</w:t>
      </w:r>
    </w:p>
    <w:p w:rsidR="00A77B3E">
      <w:pPr>
        <w:ind w:firstLine="480"/>
        <w:jc w:val="left"/>
        <w:rPr>
          <w:rFonts w:ascii="宋体" w:eastAsia="宋体" w:hAnsi="宋体" w:cs="宋体"/>
          <w:b w:val="0"/>
          <w:sz w:val="24"/>
        </w:rPr>
      </w:pPr>
      <w:r>
        <w:rPr>
          <w:rFonts w:ascii="宋体" w:eastAsia="宋体" w:hAnsi="宋体" w:cs="宋体"/>
          <w:b w:val="0"/>
          <w:sz w:val="24"/>
        </w:rPr>
        <w:t>《政策》内容整体包含五个方面总计11项措施，支持范围覆盖筑强智算中心建设、实施智算..调度、提升绿色智算水平、支持自主可控的智算要素以及打造创新融合的“智算+”应用场景。同时也结合临港新片区在跨境数据流动的独特制度优势，推动算力赋能..数据合作发展。</w:t>
      </w:r>
    </w:p>
    <w:p w:rsidR="00A77B3E">
      <w:pPr>
        <w:ind w:firstLine="480"/>
        <w:jc w:val="left"/>
        <w:rPr>
          <w:rFonts w:ascii="宋体" w:eastAsia="宋体" w:hAnsi="宋体" w:cs="宋体"/>
          <w:b w:val="0"/>
          <w:sz w:val="24"/>
        </w:rPr>
      </w:pPr>
      <w:r>
        <w:rPr>
          <w:rFonts w:ascii="宋体" w:eastAsia="宋体" w:hAnsi="宋体" w:cs="宋体"/>
          <w:b w:val="0"/>
          <w:sz w:val="24"/>
        </w:rPr>
        <w:t>临港新片区管委会数据处副处长倪晓杰表示，目前新片区已布局含三大运营商、商汤科技、有孚网络等8个算力中心，基础设施新颖，具备集约化、高能效优势，设计PUE小于1.3。</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图为商汤智算中心</w:t>
      </w:r>
    </w:p>
    <w:p w:rsidR="00A77B3E">
      <w:pPr>
        <w:ind w:firstLine="480"/>
        <w:jc w:val="left"/>
        <w:rPr>
          <w:rFonts w:ascii="宋体" w:eastAsia="宋体" w:hAnsi="宋体" w:cs="宋体"/>
          <w:b w:val="0"/>
          <w:sz w:val="24"/>
        </w:rPr>
      </w:pPr>
      <w:r>
        <w:rPr>
          <w:rFonts w:ascii="宋体" w:eastAsia="宋体" w:hAnsi="宋体" w:cs="宋体"/>
          <w:b w:val="0"/>
          <w:sz w:val="24"/>
        </w:rPr>
        <w:t>据此前报道，临港新片区区域内的8个规模化算力中心，总建筑面积71.4万平方米，已建机架数4万个，规划机架数10.2万个，已上架2.4万个，总功率604兆瓦，可调度的算力约3EFLOPS，约占上海市20%，且智算比例较高。</w:t>
      </w:r>
    </w:p>
    <w:p w:rsidR="00A77B3E">
      <w:pPr>
        <w:ind w:firstLine="480"/>
        <w:jc w:val="left"/>
        <w:rPr>
          <w:rFonts w:ascii="宋体" w:eastAsia="宋体" w:hAnsi="宋体" w:cs="宋体"/>
          <w:b w:val="0"/>
          <w:sz w:val="24"/>
        </w:rPr>
      </w:pPr>
      <w:r>
        <w:rPr>
          <w:rFonts w:ascii="宋体" w:eastAsia="宋体" w:hAnsi="宋体" w:cs="宋体"/>
          <w:b w:val="0"/>
          <w:sz w:val="24"/>
        </w:rPr>
        <w:t>倪晓杰表示，新片区将持续优化算力布局体系，在基础设施、核心产业和示范场景三方面形成合力，打造智能算力“三位一体”的协同发展体系。目标到2025年，形成以智能算力为主、基础算力和超级算力协同的多元算力体系，力争总算力超过5EFLOPS，智算占比达到80%，PUE控制在1.25以内，算力产业总体规模提升至100亿元。</w:t>
      </w:r>
    </w:p>
    <w:p w:rsidR="00A77B3E">
      <w:pPr>
        <w:ind w:firstLine="480"/>
        <w:jc w:val="left"/>
        <w:rPr>
          <w:rFonts w:ascii="宋体" w:eastAsia="宋体" w:hAnsi="宋体" w:cs="宋体"/>
          <w:b w:val="0"/>
          <w:sz w:val="24"/>
        </w:rPr>
      </w:pPr>
      <w:r>
        <w:rPr>
          <w:rFonts w:ascii="宋体" w:eastAsia="宋体" w:hAnsi="宋体" w:cs="宋体"/>
          <w:b w:val="0"/>
          <w:sz w:val="24"/>
        </w:rPr>
        <w:t>文章来源：中国IDC圈</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原文链接：http://www.nansu.com/yyxw/279.html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